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OSCAR JEOVANNY FERNÁNDEZ MORENO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CONFIPETROL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15 # 65 - 30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TELÉFONO:4232946 EXT 155</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2021ER36936</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CONFIPETROL S.A.S. identificada con NIT 900179369-6 y cuya sede inscrita fue la ubicada en Carrera 15 # 65 - 30,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30"/>
              <w:gridCol w:w="2767"/>
              <w:gridCol w:w="2771"/>
              <w:tblGridChange w:id="0">
                <w:tblGrid>
                  <w:gridCol w:w="2730"/>
                  <w:gridCol w:w="2767"/>
                  <w:gridCol w:w="2771"/>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CONFIPETROL S.A.S.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 DE PROYECTOS</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5528" w:hRule="atLeast"/>
          <w:tblHeader w:val="0"/>
        </w:trPr>
        <w:tc>
          <w:tcPr>
            <w:shd w:fill="auto" w:val="clear"/>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Biviana cardenas, asistió al  30 % de mesas de trabajo, por lo que no cumple con el requisito de asistencia para respectiva certificación.</w:t>
                  </w:r>
                </w:p>
              </w:tc>
            </w:tr>
            <w:tr>
              <w:trPr>
                <w:cantSplit w:val="0"/>
                <w:tblHeader w:val="0"/>
              </w:trPr>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22 de los 25 posibles. La revisión del documento denominado "Formato 1 de formulación de proyecto" permitió identificar oportunidades de mejora que fueron previamente socializadas vía correo electrónico y que para efectos del presente informe se presentarán nuevamente.</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recomendó lo siguiente: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y </w:t>
                  </w:r>
                  <w:r w:rsidDel="00000000" w:rsidR="00000000" w:rsidRPr="00000000">
                    <w:rPr>
                      <w:rFonts w:ascii="Arial" w:cs="Arial" w:eastAsia="Arial" w:hAnsi="Arial"/>
                      <w:sz w:val="22"/>
                      <w:szCs w:val="22"/>
                      <w:rtl w:val="0"/>
                    </w:rPr>
                    <w:t xml:space="preserve">verificación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cronograma</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-Reportar  resultados parciales</w:t>
                  </w:r>
                </w:p>
              </w:tc>
            </w:tr>
            <w:tr>
              <w:trPr>
                <w:cantSplit w:val="0"/>
                <w:tblHeader w:val="0"/>
              </w:trPr>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25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la implementación  de la digitalización de la información para reemplazar el uso de los equipos UPS; se cuantifican los </w:t>
                  </w:r>
                  <w:r w:rsidDel="00000000" w:rsidR="00000000" w:rsidRPr="00000000">
                    <w:rPr>
                      <w:rFonts w:ascii="Arial" w:cs="Arial" w:eastAsia="Arial" w:hAnsi="Arial"/>
                      <w:sz w:val="22"/>
                      <w:szCs w:val="22"/>
                      <w:rtl w:val="0"/>
                    </w:rPr>
                    <w:t xml:space="preserve">beneficios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w:t>
                  </w:r>
                  <w:r w:rsidDel="00000000" w:rsidR="00000000" w:rsidRPr="00000000">
                    <w:rPr>
                      <w:rFonts w:ascii="Arial" w:cs="Arial" w:eastAsia="Arial" w:hAnsi="Arial"/>
                      <w:sz w:val="22"/>
                      <w:szCs w:val="22"/>
                      <w:rtl w:val="0"/>
                    </w:rPr>
                    <w:t xml:space="preserve">términos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ahorros energéticos, económicos  y ambientales. Sumado a lo anterior, presenta evidencia de certificación de la organización en la NTC ISO 50001.</w:t>
                  </w:r>
                </w:p>
              </w:tc>
            </w:tr>
            <w:tr>
              <w:trPr>
                <w:cantSplit w:val="0"/>
                <w:tblHeader w:val="0"/>
              </w:trPr>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30 puntos posibles correspondientes a este entregable. Los criterios tenidos en cuenta para esta entrega fueron los de: avances en la formulación del proyecto respecto al segundo entregable, el estado final del proyecto y la continuidad del mismo, identificando la implementación y puesta en marcha del proyecto; el reporte de los beneficios obtenidos por la implementación </w:t>
                  </w:r>
                  <w:r w:rsidDel="00000000" w:rsidR="00000000" w:rsidRPr="00000000">
                    <w:rPr>
                      <w:rFonts w:ascii="Arial" w:cs="Arial" w:eastAsia="Arial" w:hAnsi="Arial"/>
                      <w:sz w:val="22"/>
                      <w:szCs w:val="22"/>
                      <w:rtl w:val="0"/>
                    </w:rPr>
                    <w:t xml:space="preserve">del mismo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finalmente, se evidencia interés en mantener el proyecto en el tiempo, con el fin de mantener la mejora continua frente a la gestión energética de la </w:t>
                  </w:r>
                  <w:r w:rsidDel="00000000" w:rsidR="00000000" w:rsidRPr="00000000">
                    <w:rPr>
                      <w:rFonts w:ascii="Arial" w:cs="Arial" w:eastAsia="Arial" w:hAnsi="Arial"/>
                      <w:sz w:val="22"/>
                      <w:szCs w:val="22"/>
                      <w:rtl w:val="0"/>
                    </w:rPr>
                    <w:t xml:space="preserve">organización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la medición de su huella de carbono.</w:t>
                  </w:r>
                </w:p>
              </w:tc>
            </w:tr>
            <w:tr>
              <w:trPr>
                <w:cantSplit w:val="0"/>
                <w:trHeight w:val="1081" w:hRule="atLeast"/>
                <w:tblHeader w:val="0"/>
              </w:trPr>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82</w:t>
                  </w:r>
                  <w:r w:rsidDel="00000000" w:rsidR="00000000" w:rsidRPr="00000000">
                    <w:rPr>
                      <w:rtl w:val="0"/>
                    </w:rPr>
                  </w:r>
                </w:p>
              </w:tc>
            </w:tr>
          </w:tb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608" w:hRule="atLeast"/>
                <w:tblHeader w:val="0"/>
              </w:trPr>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Reconversión de UPS</w:t>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Digitalización de la información de la organización sustituyendo las UPS, siendo estos los equipos de mayor consumo energético de la organización.</w:t>
                  </w:r>
                </w:p>
              </w:tc>
            </w:tr>
            <w:tr>
              <w:trPr>
                <w:cantSplit w:val="0"/>
                <w:trHeight w:val="608" w:hRule="atLeast"/>
                <w:tblHeader w:val="0"/>
              </w:trPr>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Certificación ISO 500001</w:t>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del Sistema de Gestión Energético.</w:t>
                  </w:r>
                </w:p>
              </w:tc>
            </w:tr>
          </w:tbl>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B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w:t>
            </w:r>
            <w:r w:rsidDel="00000000" w:rsidR="00000000" w:rsidRPr="00000000">
              <w:rPr>
                <w:rFonts w:ascii="Arial" w:cs="Arial" w:eastAsia="Arial" w:hAnsi="Arial"/>
                <w:sz w:val="22"/>
                <w:szCs w:val="22"/>
                <w:rtl w:val="0"/>
              </w:rPr>
              <w:t xml:space="preserve">reconversión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equipos servidores y UPS, digitalizando la información de la organización y disminuyendo consumos de energía eléctrica, sumado a esto presentó el proyecto de certificación en la NTC ISO 50001. Estos proyectos fueron implementados en su totalidad y se reportaron los beneficios energéticos, económicos , ambientales y sociales obtenidos hasta el momento.</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asistir a las mesas de trabajo y capacitaciones brindadas desde el proyecto y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C2">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6HJs13YQDfGnEcsUftVCdUVv+g==">AMUW2mVSUl8GQQNxjGlfzpr2Qw7rvxSrRHaSGBGlaIEbU1olXm1Waz4a+hvXhuVkll4ONw5EiePs0mJYtobbDBTDoeueu7P4H1hmvxp6pyYL+InveYfFaeU=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2021-11-26T15:09:00Z</dcterms:created>
  <dc:creator>Jorge Manrique</dc:creator>
</cp:coreProperties>
</file>